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240"/>
        <w:shd w:val="clear" w:color="auto" w:fill="ffffff"/>
        <w:rPr>
          <w:rFonts w:ascii="Roboto" w:hAnsi="Roboto" w:eastAsia="Roboto" w:cs="Roboto"/>
          <w:b/>
          <w:color w:val="212529"/>
          <w:sz w:val="24"/>
          <w:szCs w:val="24"/>
        </w:rPr>
      </w:pPr>
      <w:r>
        <w:rPr>
          <w:rFonts w:ascii="Roboto" w:hAnsi="Roboto" w:eastAsia="Roboto" w:cs="Roboto"/>
          <w:b/>
          <w:color w:val="212529"/>
          <w:sz w:val="24"/>
          <w:szCs w:val="24"/>
          <w:rtl w:val="0"/>
        </w:rPr>
        <w:t xml:space="preserve">SWOT-elemzés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212529"/>
          <w:sz w:val="24"/>
          <w:szCs w:val="24"/>
        </w:rPr>
      </w:pP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A SWOT-elemzés egy nagyon egyszerű, mégis nagyon hatékony módja egy jelenség különböző aspektusainak elemzésére, mely további mélyeb</w:t>
      </w: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b elemzéseket és fejlesztéseket alapozhat meg. A SWOT-elemzés során egy adott jelenséget 4 szempontból azonosítanak: erősségek, gyengeségek, lehetőségek, veszélyek. A 4 perspektívát jellemzően egy 4 mezőből álló mátrixban ábrázolják. Lásd még Keany (2017).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212529"/>
          <w:sz w:val="24"/>
          <w:szCs w:val="24"/>
        </w:rPr>
      </w:pP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A SWOT-elemzés csak négy cellát tartalmaz, melyekben jegyzetpontszerűen rögzíthetik az adott jelenséget érintő fő meglátásaikat. A cellák vizuális megjelenítése fontos, mert az a négy aspektus közötti logikai kapcsolatokat mutatja.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212529"/>
          <w:sz w:val="24"/>
          <w:szCs w:val="24"/>
        </w:rPr>
      </w:pP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A vizsgált jelenség neve:</w:t>
      </w:r>
      <w:r/>
    </w:p>
    <w:tbl>
      <w:tblPr>
        <w:tblStyle w:val="622"/>
        <w:tblW w:w="92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4640"/>
        <w:gridCol w:w="4640"/>
        <w:tblGridChange w:id="0">
          <w:tblGrid>
            <w:gridCol w:w="4640"/>
            <w:gridCol w:w="4640"/>
          </w:tblGrid>
        </w:tblGridChange>
      </w:tblGrid>
      <w:tr>
        <w:trPr>
          <w:cantSplit w:val="false"/>
          <w:trHeight w:val="2405"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spacing w:after="240"/>
              <w:rPr>
                <w:rFonts w:ascii="Verdana" w:hAnsi="Verdana" w:eastAsia="Verdana" w:cs="Verdana"/>
                <w:sz w:val="15"/>
                <w:szCs w:val="15"/>
              </w:rPr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 </w:t>
            </w:r>
            <w:r/>
          </w:p>
          <w:p>
            <w:pPr>
              <w:jc w:val="both"/>
              <w:spacing w:after="240"/>
              <w:rPr>
                <w:rFonts w:ascii="Verdana" w:hAnsi="Verdana" w:eastAsia="Verdana" w:cs="Verdana"/>
                <w:sz w:val="15"/>
                <w:szCs w:val="15"/>
              </w:rPr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Erősségek</w:t>
            </w:r>
            <w:r/>
          </w:p>
          <w:p>
            <w:pPr>
              <w:numPr>
                <w:ilvl w:val="0"/>
                <w:numId w:val="2"/>
              </w:numPr>
              <w:ind w:left="720" w:hanging="360"/>
              <w:jc w:val="both"/>
              <w:spacing w:after="0" w:afterAutospacing="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x</w:t>
            </w:r>
            <w:r/>
          </w:p>
          <w:p>
            <w:pPr>
              <w:numPr>
                <w:ilvl w:val="0"/>
                <w:numId w:val="2"/>
              </w:numPr>
              <w:ind w:left="720" w:hanging="360"/>
              <w:jc w:val="both"/>
              <w:spacing w:after="0" w:afterAutospacing="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y</w:t>
            </w:r>
            <w:r/>
          </w:p>
          <w:p>
            <w:pPr>
              <w:numPr>
                <w:ilvl w:val="0"/>
                <w:numId w:val="2"/>
              </w:numPr>
              <w:ind w:left="720" w:hanging="360"/>
              <w:jc w:val="both"/>
              <w:spacing w:after="24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z etc.</w:t>
            </w:r>
            <w:r/>
          </w:p>
          <w:p>
            <w:pPr>
              <w:jc w:val="both"/>
              <w:spacing w:after="240"/>
              <w:rPr>
                <w:rFonts w:ascii="Verdana" w:hAnsi="Verdana" w:eastAsia="Verdana" w:cs="Verdana"/>
                <w:sz w:val="15"/>
                <w:szCs w:val="15"/>
              </w:rPr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 </w:t>
            </w:r>
            <w:r/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spacing w:after="240"/>
              <w:rPr>
                <w:rFonts w:ascii="Verdana" w:hAnsi="Verdana" w:eastAsia="Verdana" w:cs="Verdana"/>
                <w:sz w:val="15"/>
                <w:szCs w:val="15"/>
              </w:rPr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 </w:t>
            </w:r>
            <w:r/>
          </w:p>
          <w:p>
            <w:pPr>
              <w:jc w:val="both"/>
              <w:spacing w:after="240"/>
              <w:rPr>
                <w:rFonts w:ascii="Verdana" w:hAnsi="Verdana" w:eastAsia="Verdana" w:cs="Verdana"/>
                <w:sz w:val="15"/>
                <w:szCs w:val="15"/>
              </w:rPr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Gyengeségek</w:t>
            </w:r>
            <w:r/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spacing w:after="0" w:afterAutospacing="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q</w:t>
            </w:r>
            <w:r/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spacing w:after="0" w:afterAutospacing="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w</w:t>
            </w:r>
            <w:r/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spacing w:after="24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z etc. </w:t>
            </w:r>
            <w:r/>
          </w:p>
        </w:tc>
      </w:tr>
      <w:tr>
        <w:trPr>
          <w:cantSplit w:val="false"/>
          <w:trHeight w:val="2405"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spacing w:after="240"/>
              <w:rPr>
                <w:rFonts w:ascii="Verdana" w:hAnsi="Verdana" w:eastAsia="Verdana" w:cs="Verdana"/>
                <w:sz w:val="15"/>
                <w:szCs w:val="15"/>
              </w:rPr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 </w:t>
            </w:r>
            <w:r/>
          </w:p>
          <w:p>
            <w:pPr>
              <w:jc w:val="both"/>
              <w:spacing w:after="240"/>
              <w:rPr>
                <w:rFonts w:ascii="Verdana" w:hAnsi="Verdana" w:eastAsia="Verdana" w:cs="Verdana"/>
                <w:sz w:val="15"/>
                <w:szCs w:val="15"/>
              </w:rPr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Lehetőségek</w:t>
            </w:r>
            <w:r/>
          </w:p>
          <w:p>
            <w:pPr>
              <w:numPr>
                <w:ilvl w:val="0"/>
                <w:numId w:val="3"/>
              </w:numPr>
              <w:ind w:left="720" w:hanging="360"/>
              <w:jc w:val="both"/>
              <w:spacing w:after="0" w:afterAutospacing="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r</w:t>
            </w:r>
            <w:r/>
          </w:p>
          <w:p>
            <w:pPr>
              <w:numPr>
                <w:ilvl w:val="0"/>
                <w:numId w:val="3"/>
              </w:numPr>
              <w:ind w:left="720" w:hanging="360"/>
              <w:jc w:val="both"/>
              <w:spacing w:after="0" w:afterAutospacing="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u</w:t>
            </w:r>
            <w:r/>
          </w:p>
          <w:p>
            <w:pPr>
              <w:numPr>
                <w:ilvl w:val="0"/>
                <w:numId w:val="3"/>
              </w:numPr>
              <w:ind w:left="720" w:hanging="360"/>
              <w:jc w:val="both"/>
              <w:spacing w:after="24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p etc.</w:t>
            </w:r>
            <w:r/>
          </w:p>
          <w:p>
            <w:pPr>
              <w:jc w:val="both"/>
              <w:spacing w:after="240"/>
              <w:rPr>
                <w:rFonts w:ascii="Verdana" w:hAnsi="Verdana" w:eastAsia="Verdana" w:cs="Verdana"/>
                <w:sz w:val="15"/>
                <w:szCs w:val="15"/>
              </w:rPr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 </w:t>
            </w:r>
            <w:r/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spacing w:after="240"/>
              <w:rPr>
                <w:rFonts w:ascii="Verdana" w:hAnsi="Verdana" w:eastAsia="Verdana" w:cs="Verdana"/>
                <w:sz w:val="15"/>
                <w:szCs w:val="15"/>
              </w:rPr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 </w:t>
            </w:r>
            <w:r/>
          </w:p>
          <w:p>
            <w:pPr>
              <w:jc w:val="both"/>
              <w:spacing w:after="240"/>
              <w:rPr>
                <w:rFonts w:ascii="Verdana" w:hAnsi="Verdana" w:eastAsia="Verdana" w:cs="Verdana"/>
                <w:sz w:val="15"/>
                <w:szCs w:val="15"/>
              </w:rPr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Veszélyek</w:t>
            </w:r>
            <w:r/>
          </w:p>
          <w:p>
            <w:pPr>
              <w:numPr>
                <w:ilvl w:val="0"/>
                <w:numId w:val="4"/>
              </w:numPr>
              <w:ind w:left="720" w:hanging="360"/>
              <w:jc w:val="both"/>
              <w:spacing w:after="0" w:afterAutospacing="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v</w:t>
            </w:r>
            <w:r/>
          </w:p>
          <w:p>
            <w:pPr>
              <w:numPr>
                <w:ilvl w:val="0"/>
                <w:numId w:val="4"/>
              </w:numPr>
              <w:ind w:left="720" w:hanging="360"/>
              <w:jc w:val="both"/>
              <w:spacing w:after="0" w:afterAutospacing="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d</w:t>
            </w:r>
            <w:r/>
          </w:p>
          <w:p>
            <w:pPr>
              <w:numPr>
                <w:ilvl w:val="0"/>
                <w:numId w:val="4"/>
              </w:numPr>
              <w:ind w:left="720" w:hanging="360"/>
              <w:jc w:val="both"/>
              <w:spacing w:after="240"/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h etc.</w:t>
            </w:r>
            <w:r/>
          </w:p>
          <w:p>
            <w:pPr>
              <w:jc w:val="both"/>
              <w:spacing w:after="240"/>
              <w:rPr>
                <w:rFonts w:ascii="Verdana" w:hAnsi="Verdana" w:eastAsia="Verdana" w:cs="Verdana"/>
                <w:sz w:val="15"/>
                <w:szCs w:val="15"/>
              </w:rPr>
            </w:pPr>
            <w:r>
              <w:rPr>
                <w:rFonts w:ascii="Verdana" w:hAnsi="Verdana" w:eastAsia="Verdana" w:cs="Verdana"/>
                <w:sz w:val="15"/>
                <w:szCs w:val="15"/>
                <w:rtl w:val="0"/>
              </w:rPr>
              <w:t xml:space="preserve"> </w:t>
            </w:r>
            <w:r/>
          </w:p>
        </w:tc>
      </w:tr>
    </w:tbl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212529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212529"/>
          <w:sz w:val="24"/>
          <w:szCs w:val="24"/>
        </w:rPr>
      </w:pP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Nem feltétlenül szükséges, de az ajánljuk, hogy a cellák alatt rövid (2-4 soros) magyarázatokat is adjanak a cellákban rögzí</w:t>
      </w: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tett egyes pontokról. Ez részben azért hasznos, hogy később emlékeztesse Önöket, pontosabban mire is gondoltak, amikor egy cellában jeleztek egy bizonyos gondolatot, valamint az olvasókat is segíti, hogy könnyen megértsék a boxokban jelzett gondolataikat. 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212529"/>
          <w:sz w:val="24"/>
          <w:szCs w:val="24"/>
        </w:rPr>
      </w:pP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X: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212529"/>
          <w:sz w:val="24"/>
          <w:szCs w:val="24"/>
        </w:rPr>
      </w:pP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Y: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212529"/>
          <w:sz w:val="24"/>
          <w:szCs w:val="24"/>
        </w:rPr>
      </w:pP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Z: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212529"/>
          <w:sz w:val="24"/>
          <w:szCs w:val="24"/>
        </w:rPr>
      </w:pP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etc.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212529"/>
          <w:sz w:val="24"/>
          <w:szCs w:val="24"/>
        </w:rPr>
      </w:pP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Az interneten számos leírást találhatnak a SWOT-ról, a cellák vizuális kinézetét pedig úgy választhatják meg, ahogy az Önöknek hasznosnak látszik vagy tetszik.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b/>
          <w:color w:val="212529"/>
          <w:sz w:val="24"/>
          <w:szCs w:val="24"/>
        </w:rPr>
      </w:pPr>
      <w:r>
        <w:rPr>
          <w:rFonts w:ascii="Roboto" w:hAnsi="Roboto" w:eastAsia="Roboto" w:cs="Roboto"/>
          <w:b/>
          <w:color w:val="212529"/>
          <w:sz w:val="24"/>
          <w:szCs w:val="24"/>
          <w:rtl w:val="0"/>
        </w:rPr>
        <w:t xml:space="preserve">Példák: 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b/>
          <w:color w:val="212529"/>
          <w:sz w:val="24"/>
          <w:szCs w:val="24"/>
        </w:rPr>
      </w:pPr>
      <w:r>
        <w:rPr>
          <w:rFonts w:ascii="Roboto" w:hAnsi="Roboto" w:eastAsia="Roboto" w:cs="Roboto"/>
          <w:b/>
          <w:color w:val="212529"/>
          <w:sz w:val="24"/>
          <w:szCs w:val="24"/>
          <w:rtl w:val="0"/>
        </w:rPr>
        <w:t xml:space="preserve">A módszer rövid leírása: 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007bff"/>
          <w:sz w:val="24"/>
          <w:szCs w:val="24"/>
        </w:rPr>
      </w:pPr>
      <w:r/>
      <w:hyperlink r:id="rId10" w:tooltip="https://www.techtarget.com/searchcio/definition/SWOT-analysis-strengths-weaknesses-opportunities-and-threats-analysis" w:history="1">
        <w:r>
          <w:rPr>
            <w:rFonts w:ascii="Roboto" w:hAnsi="Roboto" w:eastAsia="Roboto" w:cs="Roboto"/>
            <w:color w:val="007bff"/>
            <w:sz w:val="24"/>
            <w:szCs w:val="24"/>
            <w:rtl w:val="0"/>
          </w:rPr>
          <w:t xml:space="preserve">https://www.techtarget.com/searchcio/definition/SWOT-analysis-strengths-weaknesses-opportunities-and-threats-analysis</w:t>
        </w:r>
      </w:hyperlink>
      <w:r>
        <w:rPr>
          <w:rtl w:val="0"/>
        </w:rPr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007bff"/>
          <w:sz w:val="24"/>
          <w:szCs w:val="24"/>
        </w:rPr>
      </w:pP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Wikipedia: </w:t>
      </w:r>
      <w:hyperlink r:id="rId11" w:tooltip="https://en.wikipedia.org/wiki/SWOT_analysis" w:history="1">
        <w:r>
          <w:rPr>
            <w:rFonts w:ascii="Roboto" w:hAnsi="Roboto" w:eastAsia="Roboto" w:cs="Roboto"/>
            <w:color w:val="007bff"/>
            <w:sz w:val="24"/>
            <w:szCs w:val="24"/>
            <w:rtl w:val="0"/>
          </w:rPr>
          <w:t xml:space="preserve">https://en.wikipedia.org/wiki/SWOT_analysis</w:t>
        </w:r>
      </w:hyperlink>
      <w:r>
        <w:rPr>
          <w:rtl w:val="0"/>
        </w:rPr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b/>
          <w:color w:val="212529"/>
          <w:sz w:val="24"/>
          <w:szCs w:val="24"/>
        </w:rPr>
      </w:pPr>
      <w:r>
        <w:rPr>
          <w:rFonts w:ascii="Roboto" w:hAnsi="Roboto" w:eastAsia="Roboto" w:cs="Roboto"/>
          <w:b/>
          <w:color w:val="212529"/>
          <w:sz w:val="24"/>
          <w:szCs w:val="24"/>
          <w:rtl w:val="0"/>
        </w:rPr>
        <w:t xml:space="preserve">Vizuális design: </w:t>
      </w:r>
      <w:r/>
    </w:p>
    <w:p>
      <w:pPr>
        <w:jc w:val="both"/>
        <w:spacing w:after="240"/>
        <w:shd w:val="clear" w:color="auto" w:fill="ffffff"/>
        <w:rPr>
          <w:rFonts w:ascii="Roboto" w:hAnsi="Roboto" w:eastAsia="Roboto" w:cs="Roboto"/>
          <w:color w:val="212529"/>
          <w:sz w:val="24"/>
          <w:szCs w:val="24"/>
        </w:rPr>
      </w:pPr>
      <w:r>
        <w:rPr>
          <w:rFonts w:ascii="Roboto" w:hAnsi="Roboto" w:eastAsia="Roboto" w:cs="Roboto"/>
          <w:color w:val="212529"/>
          <w:sz w:val="24"/>
          <w:szCs w:val="24"/>
          <w:rtl w:val="0"/>
        </w:rPr>
        <w:t xml:space="preserve">Csak írja be a SWOT kifejezést a böngészőjébe, és máris rengeteg grafikai terv közül választhat. A SWOT legegyszerűbb megjelenése azonban az egy négyszögben 4 egyszerű cella.</w:t>
      </w:r>
      <w:r/>
    </w:p>
    <w:p>
      <w:pPr>
        <w:jc w:val="both"/>
      </w:pPr>
      <w:r>
        <w:rPr>
          <w:rtl w:val="0"/>
        </w:rPr>
      </w:r>
      <w:r/>
    </w:p>
    <w:sectPr>
      <w:footerReference w:type="default" r:id="rId9"/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pStyle w:val="44"/>
      <w:rPr>
        <w:color w:val="000000"/>
        <w:highlight w:val="none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76963004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/>
    <w:r/>
    <w:r>
      <w:rPr>
        <w:color w:val="000000"/>
        <w:highlight w:val="no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Verdana" w:hAnsi="Verdana" w:eastAsia="Verdana" w:cs="Verdana"/>
        <w:color w:val="000000"/>
        <w:sz w:val="15"/>
        <w:szCs w:val="15"/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Verdana" w:hAnsi="Verdana" w:eastAsia="Verdana" w:cs="Verdana"/>
        <w:color w:val="000000"/>
        <w:sz w:val="15"/>
        <w:szCs w:val="15"/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Verdana" w:hAnsi="Verdana" w:eastAsia="Verdana" w:cs="Verdana"/>
        <w:color w:val="000000"/>
        <w:sz w:val="15"/>
        <w:szCs w:val="15"/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Verdana" w:hAnsi="Verdana" w:eastAsia="Verdana" w:cs="Verdana"/>
        <w:color w:val="000000"/>
        <w:sz w:val="15"/>
        <w:szCs w:val="15"/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1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1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1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1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19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2"/>
    <w:next w:val="61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2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20"/>
    <w:uiPriority w:val="10"/>
    <w:rPr>
      <w:sz w:val="48"/>
      <w:szCs w:val="48"/>
    </w:rPr>
  </w:style>
  <w:style w:type="character" w:styleId="37">
    <w:name w:val="Subtitle Char"/>
    <w:basedOn w:val="11"/>
    <w:link w:val="621"/>
    <w:uiPriority w:val="11"/>
    <w:rPr>
      <w:sz w:val="24"/>
      <w:szCs w:val="24"/>
    </w:rPr>
  </w:style>
  <w:style w:type="paragraph" w:styleId="38">
    <w:name w:val="Quote"/>
    <w:basedOn w:val="612"/>
    <w:next w:val="61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2"/>
    <w:next w:val="61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</w:style>
  <w:style w:type="table" w:styleId="613" w:default="1">
    <w:name w:val="Table Normal"/>
    <w:tblPr/>
  </w:style>
  <w:style w:type="paragraph" w:styleId="614">
    <w:name w:val="Heading 1"/>
    <w:basedOn w:val="612"/>
    <w:next w:val="612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15">
    <w:name w:val="Heading 2"/>
    <w:basedOn w:val="612"/>
    <w:next w:val="612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16">
    <w:name w:val="Heading 3"/>
    <w:basedOn w:val="612"/>
    <w:next w:val="612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17">
    <w:name w:val="Heading 4"/>
    <w:basedOn w:val="612"/>
    <w:next w:val="612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18">
    <w:name w:val="Heading 5"/>
    <w:basedOn w:val="612"/>
    <w:next w:val="612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19">
    <w:name w:val="Heading 6"/>
    <w:basedOn w:val="612"/>
    <w:next w:val="612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20">
    <w:name w:val="Title"/>
    <w:basedOn w:val="612"/>
    <w:next w:val="612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621">
    <w:name w:val="Subtitle"/>
    <w:basedOn w:val="612"/>
    <w:next w:val="612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622">
    <w:name w:val="StGen0"/>
    <w:basedOn w:val="613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  <w:tcPr>
      <w:shd w:val="clear" w:color="auto" w:fill="ffffff"/>
    </w:tcPr>
  </w:style>
  <w:style w:type="character" w:styleId="820" w:default="1">
    <w:name w:val="Default Paragraph Font"/>
    <w:uiPriority w:val="1"/>
    <w:semiHidden/>
    <w:unhideWhenUsed/>
  </w:style>
  <w:style w:type="numbering" w:styleId="82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www.techtarget.com/searchcio/definition/SWOT-analysis-strengths-weaknesses-opportunities-and-threats-analysis" TargetMode="External"/><Relationship Id="rId11" Type="http://schemas.openxmlformats.org/officeDocument/2006/relationships/hyperlink" Target="https://en.wikipedia.org/wiki/SWOT_analysi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