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LS4VET stratégia a </w:t>
      </w:r>
      <w:r>
        <w:rPr>
          <w:rFonts w:ascii="Calibri" w:hAnsi="Calibri" w:eastAsia="Calibri" w:cs="Calibri"/>
          <w:b/>
          <w:i/>
          <w:sz w:val="24"/>
          <w:szCs w:val="24"/>
          <w:rtl w:val="0"/>
        </w:rPr>
        <w:t xml:space="preserve">(iskola neve) </w:t>
      </w: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számára</w:t>
      </w:r>
      <w:r/>
    </w:p>
    <w:p>
      <w:pPr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Dátum: </w:t>
      </w:r>
      <w:r/>
    </w:p>
    <w:p>
      <w:pPr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E dokumentum bemutatja az iskolánkban a szakképzésre adaptált Lesson Study mint tanári szakmai fejlődési módszer 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bevezetésével és tartós alkalmazásával kapcsolatos elképzeléseket, valaés a kapcsolódó adminisztratív folyamatokat és feladatokat. E dokumentumot az LS4VET tevékenységeket tervező vagy már megvalósító tanárok készítették az iskola vezetőivel együttműködve.</w:t>
      </w:r>
      <w:r/>
    </w:p>
    <w:p>
      <w:pPr>
        <w:ind w:left="72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b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numPr>
          <w:ilvl w:val="0"/>
          <w:numId w:val="2"/>
        </w:numPr>
        <w:ind w:left="45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b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Vízió</w:t>
      </w:r>
      <w:r/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Ebben a részben kérjük, fejtsék ki: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Miért szeretnék bevezetni/fenntartani az LS4VET tevékenységeket az iskolájukban?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Mit várnak az LS4VET bevezetésétől az iskolában?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Hogyan kapcsolódik ez az iskola jövőképéhez és jelenlegi fejlesztési terveihez?</w:t>
      </w:r>
      <w:r/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numPr>
          <w:ilvl w:val="0"/>
          <w:numId w:val="2"/>
        </w:numPr>
        <w:ind w:left="45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b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SWOT-elemzés</w:t>
      </w:r>
      <w:r/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Ebbe a részbe másolják be az LS4VET iskolai szervezeti feltételeinek korábban készített SWOT-elemzését.</w:t>
      </w:r>
      <w:r/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numPr>
          <w:ilvl w:val="0"/>
          <w:numId w:val="2"/>
        </w:numPr>
        <w:ind w:left="45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b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Adminisztratív és logisztikai folyamatok és feladatok</w:t>
      </w:r>
      <w:r/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ind w:left="0" w:right="0" w:firstLine="0"/>
        <w:jc w:val="both"/>
        <w:keepLines w:val="0"/>
        <w:keepNext w:val="0"/>
        <w:pageBreakBefore w:val="0"/>
        <w:spacing w:before="0" w:after="120" w:line="240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Ebben a szakaszban kérjük, írják le az LS4VET iskolájukban történő alkalmazásának támogatásához és fenntartásához szükséges folyamatokat és feladatokat, a SWOT-elemzés eredményével összhangban, beleértve a következőket: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a tanári időbefektetés elismerésének formái, 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az LS4VET-hez kapcsolódó szervezési folyamatok és feladatok, valamint 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Az Iskolai Lesson Study Közösségben (ILSK) való együttműködés alapszabályai (tagok, feladatok, működés).</w:t>
      </w:r>
      <w:r/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jc w:val="left"/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ind w:right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44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3008371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160" w:line="259" w:lineRule="auto"/>
    </w:pPr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isLgl w:val="false"/>
      <w:suff w:val="tab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isLgl w:val="false"/>
      <w:suff w:val="tab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4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4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4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6"/>
    <w:next w:val="63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6"/>
    <w:next w:val="63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6"/>
    <w:next w:val="63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6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44"/>
    <w:uiPriority w:val="10"/>
    <w:rPr>
      <w:sz w:val="48"/>
      <w:szCs w:val="48"/>
    </w:rPr>
  </w:style>
  <w:style w:type="character" w:styleId="37">
    <w:name w:val="Subtitle Char"/>
    <w:basedOn w:val="11"/>
    <w:link w:val="647"/>
    <w:uiPriority w:val="11"/>
    <w:rPr>
      <w:sz w:val="24"/>
      <w:szCs w:val="24"/>
    </w:rPr>
  </w:style>
  <w:style w:type="paragraph" w:styleId="38">
    <w:name w:val="Quote"/>
    <w:basedOn w:val="636"/>
    <w:next w:val="63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6"/>
    <w:next w:val="63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6"/>
    <w:next w:val="6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6"/>
    <w:next w:val="63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6"/>
    <w:next w:val="63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6"/>
    <w:next w:val="63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6"/>
    <w:next w:val="63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6"/>
    <w:next w:val="63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6"/>
    <w:next w:val="63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6"/>
    <w:next w:val="63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6"/>
    <w:next w:val="63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6"/>
    <w:next w:val="63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6"/>
    <w:next w:val="636"/>
    <w:uiPriority w:val="99"/>
    <w:unhideWhenUsed/>
    <w:pPr>
      <w:spacing w:after="0" w:afterAutospacing="0"/>
    </w:pPr>
  </w:style>
  <w:style w:type="paragraph" w:styleId="636" w:default="1">
    <w:name w:val="Normal"/>
  </w:style>
  <w:style w:type="table" w:styleId="637" w:default="1">
    <w:name w:val="Table Normal"/>
    <w:tblPr/>
  </w:style>
  <w:style w:type="paragraph" w:styleId="638">
    <w:name w:val="Heading 1"/>
    <w:basedOn w:val="636"/>
    <w:next w:val="636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39">
    <w:name w:val="Heading 2"/>
    <w:basedOn w:val="636"/>
    <w:next w:val="636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40">
    <w:name w:val="Heading 3"/>
    <w:basedOn w:val="636"/>
    <w:next w:val="636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41">
    <w:name w:val="Heading 4"/>
    <w:basedOn w:val="636"/>
    <w:next w:val="636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42">
    <w:name w:val="Heading 5"/>
    <w:basedOn w:val="636"/>
    <w:next w:val="636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43">
    <w:name w:val="Heading 6"/>
    <w:basedOn w:val="636"/>
    <w:next w:val="636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44">
    <w:name w:val="Title"/>
    <w:basedOn w:val="636"/>
    <w:next w:val="636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47">
    <w:name w:val="Subtitle"/>
    <w:basedOn w:val="636"/>
    <w:next w:val="636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754" w:default="1">
    <w:name w:val="Default Paragraph Font"/>
    <w:uiPriority w:val="1"/>
    <w:semiHidden/>
    <w:unhideWhenUsed/>
  </w:style>
  <w:style w:type="numbering" w:styleId="75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kU5ZGxfw4UToFvmGyJwnNenSAQ==">CgMxLjA4AHIhMVNrYzA0SFBCOGZHcUVTdWZubGYyVkZZVGxWZ2lxeGRp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